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ZP.271.2.38.2021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676BBF">
        <w:rPr>
          <w:rFonts w:ascii="Arial" w:hAnsi="Arial" w:cs="Arial"/>
          <w:b/>
          <w:sz w:val="24"/>
          <w:szCs w:val="24"/>
        </w:rPr>
        <w:t>„</w:t>
      </w:r>
      <w:r w:rsidRPr="00676BBF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>Załącznik nr 8 do SWZ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</w:t>
      </w:r>
      <w:r w:rsidRPr="00676BBF">
        <w:rPr>
          <w:rFonts w:ascii="Arial" w:hAnsi="Arial" w:cs="Arial"/>
          <w:b/>
          <w:sz w:val="24"/>
          <w:szCs w:val="24"/>
        </w:rPr>
        <w:lastRenderedPageBreak/>
        <w:t>ich wartościami, które są wymagane na spełnienie warunków udziału w postępowaniu.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0" w:name="_GoBack"/>
      <w:bookmarkEnd w:id="0"/>
    </w:p>
    <w:sectPr w:rsidR="00676BBF" w:rsidRPr="00676B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23511E"/>
    <w:rsid w:val="00676BBF"/>
    <w:rsid w:val="007D7B02"/>
    <w:rsid w:val="00B27715"/>
    <w:rsid w:val="00D2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2021-10-28T07:36:00Z</dcterms:created>
  <dcterms:modified xsi:type="dcterms:W3CDTF">2021-11-05T11:56:00Z</dcterms:modified>
</cp:coreProperties>
</file>