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C1" w:rsidRPr="003643C1" w:rsidRDefault="003643C1" w:rsidP="003643C1">
      <w:pPr>
        <w:ind w:left="4248" w:firstLine="708"/>
        <w:jc w:val="both"/>
        <w:rPr>
          <w:rFonts w:ascii="Arial" w:hAnsi="Arial" w:cs="Arial"/>
          <w:u w:val="single"/>
        </w:rPr>
      </w:pPr>
      <w:r w:rsidRPr="003643C1">
        <w:rPr>
          <w:rFonts w:ascii="Arial" w:hAnsi="Arial" w:cs="Arial"/>
          <w:u w:val="single"/>
        </w:rPr>
        <w:t>Załącznik do uchwały Nr XLV/600/21</w:t>
      </w:r>
    </w:p>
    <w:p w:rsidR="003643C1" w:rsidRPr="003643C1" w:rsidRDefault="003643C1" w:rsidP="003643C1">
      <w:pPr>
        <w:ind w:left="4248" w:firstLine="708"/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Rady Miejskiej w Wieluniu</w:t>
      </w:r>
    </w:p>
    <w:p w:rsidR="003643C1" w:rsidRDefault="003643C1" w:rsidP="003643C1">
      <w:pPr>
        <w:ind w:left="4248" w:firstLine="708"/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z dnia 9 kwietnia 2021 r.</w:t>
      </w:r>
    </w:p>
    <w:p w:rsidR="003643C1" w:rsidRPr="003643C1" w:rsidRDefault="003643C1" w:rsidP="003643C1">
      <w:pPr>
        <w:ind w:left="4248" w:firstLine="708"/>
        <w:jc w:val="both"/>
        <w:rPr>
          <w:rFonts w:ascii="Arial" w:hAnsi="Arial" w:cs="Arial"/>
        </w:rPr>
      </w:pPr>
    </w:p>
    <w:p w:rsidR="003643C1" w:rsidRDefault="003643C1" w:rsidP="003643C1">
      <w:pPr>
        <w:jc w:val="center"/>
        <w:rPr>
          <w:rFonts w:ascii="Arial" w:hAnsi="Arial" w:cs="Arial"/>
          <w:b/>
        </w:rPr>
      </w:pPr>
      <w:r w:rsidRPr="003643C1">
        <w:rPr>
          <w:rFonts w:ascii="Arial" w:hAnsi="Arial" w:cs="Arial"/>
          <w:b/>
        </w:rPr>
        <w:t>Informacja o prowadzonej działalności gospodarczej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Stosownie do treści przepisu § 1 Uchwały Nr XLV/600/21 Rady Miejskiej w Wieluniu z dnia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9 kwietnia 2021 r. w sprawie zwolnień z podatku od nieruchomości przedsiębiorców, których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płynność finansowa uległa pogorszeniu w związku z ponoszeniem negatywnych konsekwencji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ekonomicznych z powodu COVID-19 oświadczam, co następuje: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1) na dzień 31 grudnia 2019 r. nie znajdowałem/</w:t>
      </w:r>
      <w:proofErr w:type="spellStart"/>
      <w:r w:rsidRPr="003643C1">
        <w:rPr>
          <w:rFonts w:ascii="Arial" w:hAnsi="Arial" w:cs="Arial"/>
        </w:rPr>
        <w:t>am</w:t>
      </w:r>
      <w:proofErr w:type="spellEnd"/>
      <w:r w:rsidRPr="003643C1">
        <w:rPr>
          <w:rFonts w:ascii="Arial" w:hAnsi="Arial" w:cs="Arial"/>
        </w:rPr>
        <w:t xml:space="preserve"> się w trudnej sytuacji w rozumieniu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art. 2 pkt 18 Rozporządzenia Komisji (UE) nr 651/2014 z dnia 17 czerwca 2014 r. uznające niektóre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rodzaje pomocy za zgodne z rynkiem wewnętrznym w zastosowaniu art. 107 i 108 Traktatu (Dz. U.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 xml:space="preserve">UE. L. z 2014 r. Nr 187, str. 1 z </w:t>
      </w:r>
      <w:proofErr w:type="spellStart"/>
      <w:r w:rsidRPr="003643C1">
        <w:rPr>
          <w:rFonts w:ascii="Arial" w:hAnsi="Arial" w:cs="Arial"/>
        </w:rPr>
        <w:t>późn</w:t>
      </w:r>
      <w:proofErr w:type="spellEnd"/>
      <w:r w:rsidRPr="003643C1">
        <w:rPr>
          <w:rFonts w:ascii="Arial" w:hAnsi="Arial" w:cs="Arial"/>
        </w:rPr>
        <w:t>. zm.),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2) na dzień 28.02.2021 r. nie posiadam wobec Gminy Wieluń zaległości z tytułu podatku od</w:t>
      </w:r>
      <w:r w:rsidR="00C27AF8">
        <w:rPr>
          <w:rFonts w:ascii="Arial" w:hAnsi="Arial" w:cs="Arial"/>
        </w:rPr>
        <w:t xml:space="preserve"> </w:t>
      </w:r>
      <w:r w:rsidR="008C6DEA">
        <w:rPr>
          <w:rFonts w:ascii="Arial" w:hAnsi="Arial" w:cs="Arial"/>
        </w:rPr>
        <w:t>n</w:t>
      </w:r>
      <w:r w:rsidRPr="003643C1">
        <w:rPr>
          <w:rFonts w:ascii="Arial" w:hAnsi="Arial" w:cs="Arial"/>
        </w:rPr>
        <w:t>ieruchomości</w:t>
      </w:r>
      <w:r w:rsidR="008C6DEA">
        <w:rPr>
          <w:rFonts w:ascii="Arial" w:hAnsi="Arial" w:cs="Arial"/>
        </w:rPr>
        <w:t>,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3) odnotowałem spadek przychodów ze sprzedaży prowadzonej działalności gospodarczej z powodu</w:t>
      </w:r>
      <w:r w:rsidR="008C6DEA">
        <w:rPr>
          <w:rFonts w:ascii="Arial" w:hAnsi="Arial" w:cs="Arial"/>
        </w:rPr>
        <w:t xml:space="preserve"> C</w:t>
      </w:r>
      <w:r w:rsidRPr="003643C1">
        <w:rPr>
          <w:rFonts w:ascii="Arial" w:hAnsi="Arial" w:cs="Arial"/>
        </w:rPr>
        <w:t>OVID19: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(</w:t>
      </w:r>
      <w:r w:rsidRPr="008C6DEA">
        <w:rPr>
          <w:rFonts w:ascii="Arial" w:hAnsi="Arial" w:cs="Arial"/>
          <w:i/>
        </w:rPr>
        <w:t>zaznaczyć X odpowiedni kwadrat</w:t>
      </w:r>
      <w:r w:rsidRPr="003643C1">
        <w:rPr>
          <w:rFonts w:ascii="Arial" w:hAnsi="Arial" w:cs="Arial"/>
        </w:rPr>
        <w:t>)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□ o 25%-50% - obliczony jako stosunek łącznych przychodów ze sprzedaży w miesiącach: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kwiecień - maj 2021 r., w porównaniu do łącznych przychodów ze sprzedaży z analogicznych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2 kolejnych miesięcy kalendarzowych roku 2019 ; za miesiąc uważa się także 30 kolejno po sobie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następujących dni kalendarzowych, w przypadku gdy dwumiesięczny okres porównawczy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rozpoczyna się w trakcie miesiąca kalendarzowego, to jest w dniu innym niż pierwszy dzień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danego miesiąca kalendarzowego (osoby fizyczne prowadzące działalność gospodarczą);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□ powyżej 50% - obliczony jako stosunek łącznych przychodów ze sprzedaży w miesiącach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kwiecień - maj 2021 r., w porównaniu do łącznych przychodów ze sprzedaży z analogicznych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2 kolejnych miesięcy kalendarzowych roku 2019; za miesiąc uważa się także 30 kolejno po sobie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następujących dni kalendarzowych, w przypadku gdy dwumiesięczny okres porównawczy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rozpoczyna się w trakcie miesiąca kalendarzowego, to jest w dniu innym niż pierwszy dzień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danego miesiąca kalendarzowego (osoby fizyczne prowadzące działalność gospodarczą);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□ o 25%-50% - obliczony jako stosunek przychodów ze sprzedaży w miesiącu w którym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przypada termin płatność podatku do analogicznego miesiąca roku 2019 (osoby prawne, jednostek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organizacyjnych oraz spółek niemających osobowości prawnej);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□ powyżej 50% - obliczony jako stosunek przychodów ze sprzedaży w miesiącu, w którym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przypada termin płatności podatku do analogicznego miesiąca roku 2019 (osoby prawne, jednostek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organizacyjnych oraz spółek niemających osobowości prawnej);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□ o 25%-50% - obliczany jako stosunek przychodów ze sprzedaży w miesiącu, w którym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przypada termin płatności podatku w porównaniu do przychodów ze sprzedaży z dowolnego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miesiąca kalendarzowego 2020 r. lub dowolnego miesiąca z pierwszego kwartału 2021r.(osoby</w:t>
      </w:r>
      <w:r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prawne, jednostek organizacyjnych oraz spółek niemających osobowości prawnej);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lastRenderedPageBreak/>
        <w:t>□ powyżej 50% - obliczany jako stosunek przychodów ze sprzedaży w miesiącu, w którym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przypada termin płatności podatku w porównaniu do przychodów ze sprzedaży z dowolnego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miesiąca kalendarzowego 2020 r. lub dowolnego miesiąca z pierwszego kwartału 2021r. (osoby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prawne, jednostek organizacyjnych oraz spółek niemających osobowości prawnej);</w:t>
      </w:r>
    </w:p>
    <w:p w:rsidR="004223D5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□ o 25%-50% - obliczony jako stosunek przychodów ze sprzedaży za pierwszy kwartał 2021 r.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w stosunku do wybranego kwartału roku 2020 (osoby fizyczne prowadzące działalność</w:t>
      </w:r>
      <w:r w:rsidR="004223D5">
        <w:rPr>
          <w:rFonts w:ascii="Arial" w:hAnsi="Arial" w:cs="Arial"/>
        </w:rPr>
        <w:t xml:space="preserve"> gospodarczą),</w:t>
      </w:r>
    </w:p>
    <w:p w:rsidR="003643C1" w:rsidRPr="003643C1" w:rsidRDefault="008C6DEA" w:rsidP="00364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43C1" w:rsidRPr="003643C1">
        <w:rPr>
          <w:rFonts w:ascii="Arial" w:hAnsi="Arial" w:cs="Arial"/>
        </w:rPr>
        <w:t>□ powyżej 50% - obliczony jako stosunek przychodów ze sprzedaży za pierwszy kwartał 2021 r.</w:t>
      </w:r>
      <w:r w:rsidR="004223D5">
        <w:rPr>
          <w:rFonts w:ascii="Arial" w:hAnsi="Arial" w:cs="Arial"/>
        </w:rPr>
        <w:t xml:space="preserve"> </w:t>
      </w:r>
      <w:r w:rsidR="003643C1" w:rsidRPr="003643C1">
        <w:rPr>
          <w:rFonts w:ascii="Arial" w:hAnsi="Arial" w:cs="Arial"/>
        </w:rPr>
        <w:t>w stosunku do wybranego kwartału roku 2020 (osoby fizyczne prowadzące działalność</w:t>
      </w:r>
      <w:r>
        <w:rPr>
          <w:rFonts w:ascii="Arial" w:hAnsi="Arial" w:cs="Arial"/>
        </w:rPr>
        <w:t xml:space="preserve"> </w:t>
      </w:r>
      <w:r w:rsidR="003643C1" w:rsidRPr="003643C1">
        <w:rPr>
          <w:rFonts w:ascii="Arial" w:hAnsi="Arial" w:cs="Arial"/>
        </w:rPr>
        <w:t>gospodarczą).</w:t>
      </w:r>
    </w:p>
    <w:p w:rsid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Oświadczenia powinny zostać podpisane przez osobę zobowiązaną do wniesienia należności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w przypadku osób fizycznych prowadzących działalność gospodarczą, osoby uprawnione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doskładania oświadczeń woli zgodnie z reprezentacją wskazaną w KRS w przypadku osób</w:t>
      </w:r>
      <w:r w:rsidR="008C6DEA">
        <w:rPr>
          <w:rFonts w:ascii="Arial" w:hAnsi="Arial" w:cs="Arial"/>
        </w:rPr>
        <w:t xml:space="preserve"> </w:t>
      </w:r>
      <w:r w:rsidRPr="003643C1">
        <w:rPr>
          <w:rFonts w:ascii="Arial" w:hAnsi="Arial" w:cs="Arial"/>
        </w:rPr>
        <w:t>prawnych lub przez pełnomocnika Strony.</w:t>
      </w:r>
    </w:p>
    <w:p w:rsidR="008C6DEA" w:rsidRDefault="008C6DEA" w:rsidP="003643C1">
      <w:pPr>
        <w:jc w:val="both"/>
        <w:rPr>
          <w:rFonts w:ascii="Arial" w:hAnsi="Arial" w:cs="Arial"/>
        </w:rPr>
      </w:pPr>
    </w:p>
    <w:p w:rsidR="008C6DEA" w:rsidRDefault="008C6DEA" w:rsidP="003643C1">
      <w:pPr>
        <w:jc w:val="both"/>
        <w:rPr>
          <w:rFonts w:ascii="Arial" w:hAnsi="Arial" w:cs="Arial"/>
        </w:rPr>
      </w:pPr>
    </w:p>
    <w:p w:rsidR="00150A9B" w:rsidRDefault="00150A9B" w:rsidP="003643C1">
      <w:pPr>
        <w:jc w:val="both"/>
        <w:rPr>
          <w:rFonts w:ascii="Arial" w:hAnsi="Arial" w:cs="Arial"/>
        </w:rPr>
      </w:pPr>
    </w:p>
    <w:p w:rsidR="00150A9B" w:rsidRDefault="00150A9B" w:rsidP="003643C1">
      <w:pPr>
        <w:jc w:val="both"/>
        <w:rPr>
          <w:rFonts w:ascii="Arial" w:hAnsi="Arial" w:cs="Arial"/>
        </w:rPr>
      </w:pPr>
    </w:p>
    <w:p w:rsidR="008C6DEA" w:rsidRPr="003643C1" w:rsidRDefault="008C6DEA" w:rsidP="003643C1">
      <w:pPr>
        <w:jc w:val="both"/>
        <w:rPr>
          <w:rFonts w:ascii="Arial" w:hAnsi="Arial" w:cs="Arial"/>
        </w:rPr>
      </w:pP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3643C1" w:rsidRPr="003643C1" w:rsidRDefault="003643C1" w:rsidP="003643C1">
      <w:pPr>
        <w:jc w:val="both"/>
        <w:rPr>
          <w:rFonts w:ascii="Arial" w:hAnsi="Arial" w:cs="Arial"/>
        </w:rPr>
      </w:pPr>
      <w:r w:rsidRPr="003643C1">
        <w:rPr>
          <w:rFonts w:ascii="Arial" w:hAnsi="Arial" w:cs="Arial"/>
        </w:rPr>
        <w:t xml:space="preserve">Data </w:t>
      </w:r>
      <w:r w:rsidR="00BA2AB2">
        <w:rPr>
          <w:rFonts w:ascii="Arial" w:hAnsi="Arial" w:cs="Arial"/>
        </w:rPr>
        <w:t xml:space="preserve">                                                                                       </w:t>
      </w:r>
      <w:r w:rsidRPr="003643C1">
        <w:rPr>
          <w:rFonts w:ascii="Arial" w:hAnsi="Arial" w:cs="Arial"/>
        </w:rPr>
        <w:t>Podpis</w:t>
      </w:r>
      <w:bookmarkStart w:id="0" w:name="_GoBack"/>
      <w:bookmarkEnd w:id="0"/>
    </w:p>
    <w:sectPr w:rsidR="003643C1" w:rsidRPr="0036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C1"/>
    <w:rsid w:val="00150A9B"/>
    <w:rsid w:val="00206D1C"/>
    <w:rsid w:val="003643C1"/>
    <w:rsid w:val="004223D5"/>
    <w:rsid w:val="008C6DEA"/>
    <w:rsid w:val="00A73535"/>
    <w:rsid w:val="00BA2AB2"/>
    <w:rsid w:val="00C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580E-88CC-48F2-B36D-8ABA58E3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7</cp:revision>
  <cp:lastPrinted>2021-04-19T12:17:00Z</cp:lastPrinted>
  <dcterms:created xsi:type="dcterms:W3CDTF">2021-04-19T12:13:00Z</dcterms:created>
  <dcterms:modified xsi:type="dcterms:W3CDTF">2021-04-19T12:37:00Z</dcterms:modified>
</cp:coreProperties>
</file>